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Lớp: Luật 2020 (ST2032N1). ĐVLK: Trường CĐCĐ Sóc Trăng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10"/>
        <w:gridCol w:w="2876"/>
        <w:gridCol w:w="1444"/>
        <w:tblGridChange w:id="0">
          <w:tblGrid>
            <w:gridCol w:w="572"/>
            <w:gridCol w:w="1003"/>
            <w:gridCol w:w="3543"/>
            <w:gridCol w:w="567"/>
            <w:gridCol w:w="810"/>
            <w:gridCol w:w="2876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Bạch Tuyết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0935980860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Ar7t/pf1WSUtEdSngecQtLqHGQ==">AMUW2mXt3icVGOeN18lInSw9a9/WroEJUxQjTDbly7D4iFb8qt3MDtyERaLOjb5cSf0thpSqJUUE1fx7MsrgWGSdXMk5hGdCp2suT+fOgbZfZnqgl4tTIge4HQYBgBfZfOMV22PGsUWV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2020-11-17T03:40:00Z</dcterms:created>
</cp:coreProperties>
</file>